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9D8E" w14:textId="7D2FF239" w:rsidR="00A308F9" w:rsidRPr="007A4D53" w:rsidRDefault="00A308F9" w:rsidP="00A308F9">
      <w:pPr>
        <w:pStyle w:val="Heading1"/>
        <w:spacing w:before="39"/>
        <w:ind w:left="120"/>
      </w:pPr>
      <w:r>
        <w:rPr>
          <w:u w:val="single"/>
        </w:rPr>
        <w:t>Request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Proposal </w:t>
      </w:r>
      <w:r w:rsidRPr="007A4D53">
        <w:t xml:space="preserve">- Evidence Generation for RENASYS NPWT System </w:t>
      </w:r>
      <w:r w:rsidR="00A86D7B">
        <w:t>with</w:t>
      </w:r>
      <w:r w:rsidRPr="007A4D53">
        <w:t xml:space="preserve"> RENASYS EDGE pump </w:t>
      </w:r>
    </w:p>
    <w:p w14:paraId="2810294E" w14:textId="77777777" w:rsidR="00A308F9" w:rsidRDefault="00A308F9" w:rsidP="00A308F9">
      <w:pPr>
        <w:pStyle w:val="BodyText"/>
        <w:rPr>
          <w:b/>
          <w:sz w:val="20"/>
        </w:rPr>
      </w:pPr>
    </w:p>
    <w:p w14:paraId="030823BE" w14:textId="6BB57060" w:rsidR="00A308F9" w:rsidRDefault="00A308F9" w:rsidP="00A308F9">
      <w:pPr>
        <w:pStyle w:val="BodyText"/>
        <w:spacing w:before="180" w:line="259" w:lineRule="auto"/>
        <w:ind w:left="116"/>
      </w:pPr>
      <w:proofErr w:type="spellStart"/>
      <w:r>
        <w:t>Smith+Nephew</w:t>
      </w:r>
      <w:proofErr w:type="spellEnd"/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proposals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investigator-initiated </w:t>
      </w:r>
      <w:r>
        <w:t xml:space="preserve">evidence generation activities with RENASYS EDGE being the product of focus. The activities that could be supported include the whole range of clinical evidence methodologies, from prospective comparative </w:t>
      </w:r>
      <w:r w:rsidR="00F12AA3">
        <w:t xml:space="preserve">or single cohort </w:t>
      </w:r>
      <w:r>
        <w:t>studies to case series, from retrospective chart reviews to support in manuscript development.</w:t>
      </w:r>
      <w:r w:rsidR="00F66542">
        <w:t xml:space="preserve"> Support could be in the form of financial support, provision of product and/or assistance with writing to achieve publication. </w:t>
      </w:r>
    </w:p>
    <w:p w14:paraId="7275B38B" w14:textId="77777777" w:rsidR="00A308F9" w:rsidRDefault="00A308F9" w:rsidP="00A308F9">
      <w:pPr>
        <w:pStyle w:val="BodyText"/>
      </w:pPr>
    </w:p>
    <w:p w14:paraId="2875CD9D" w14:textId="77777777" w:rsidR="00A308F9" w:rsidRDefault="00A308F9" w:rsidP="00A308F9">
      <w:pPr>
        <w:pStyle w:val="BodyText"/>
        <w:rPr>
          <w:sz w:val="28"/>
        </w:rPr>
      </w:pPr>
    </w:p>
    <w:p w14:paraId="4A5DCC16" w14:textId="77777777" w:rsidR="00A308F9" w:rsidRDefault="00A308F9" w:rsidP="00A308F9">
      <w:pPr>
        <w:pStyle w:val="Heading1"/>
        <w:spacing w:before="1"/>
      </w:pPr>
      <w:r>
        <w:t>Products</w:t>
      </w:r>
    </w:p>
    <w:p w14:paraId="0B6B4FD9" w14:textId="43EEBC19" w:rsidR="00A308F9" w:rsidRDefault="00A308F9" w:rsidP="00A308F9">
      <w:pPr>
        <w:pStyle w:val="BodyText"/>
        <w:spacing w:before="180"/>
        <w:ind w:left="116"/>
      </w:pPr>
      <w:r>
        <w:t>RENASYS NPWT system when the pump utilized is RENASYS EDGE*</w:t>
      </w:r>
      <w:r>
        <w:br/>
      </w:r>
    </w:p>
    <w:p w14:paraId="2EE2E1DE" w14:textId="77777777" w:rsidR="00A308F9" w:rsidRDefault="00A308F9" w:rsidP="00A308F9">
      <w:pPr>
        <w:pStyle w:val="BodyText"/>
        <w:spacing w:before="9"/>
        <w:rPr>
          <w:sz w:val="29"/>
        </w:rPr>
      </w:pPr>
    </w:p>
    <w:p w14:paraId="50FFD7AA" w14:textId="77777777" w:rsidR="00A308F9" w:rsidRDefault="00A308F9" w:rsidP="00A308F9">
      <w:pPr>
        <w:pStyle w:val="Heading1"/>
      </w:pPr>
      <w:r>
        <w:t>Topics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</w:p>
    <w:p w14:paraId="0EFF1299" w14:textId="5E639787" w:rsidR="00A308F9" w:rsidRDefault="00A308F9" w:rsidP="00F66542">
      <w:pPr>
        <w:pStyle w:val="BodyText"/>
        <w:spacing w:before="180" w:line="259" w:lineRule="auto"/>
        <w:ind w:left="116"/>
      </w:pPr>
      <w:r>
        <w:t xml:space="preserve">As this is a new product we are interested in </w:t>
      </w:r>
      <w:r w:rsidR="00F66542">
        <w:t xml:space="preserve">a wide range of outcome measures and indications. Indications of interest include use in open abdomen cases, burns, traumatic wounds, </w:t>
      </w:r>
      <w:proofErr w:type="spellStart"/>
      <w:r w:rsidR="00F66542">
        <w:t>paediatrics</w:t>
      </w:r>
      <w:proofErr w:type="spellEnd"/>
      <w:r w:rsidR="00F66542">
        <w:t xml:space="preserve">, dehisced wounds and chronic wounds. Outcomes of interest include health economic outcomes (such as time/resources saved, quality of life measures, time to discharge) as well as </w:t>
      </w:r>
      <w:r>
        <w:t xml:space="preserve">clinical outcomes </w:t>
      </w:r>
      <w:r w:rsidR="00F66542">
        <w:t>and patient and/or physician satisfaction</w:t>
      </w:r>
      <w:r>
        <w:t xml:space="preserve">. </w:t>
      </w:r>
      <w:bookmarkStart w:id="0" w:name="_bookmark0"/>
      <w:bookmarkEnd w:id="0"/>
    </w:p>
    <w:p w14:paraId="24CDFB3A" w14:textId="43AF753A" w:rsidR="00991AA7" w:rsidRDefault="00A308F9" w:rsidP="00991AA7">
      <w:pPr>
        <w:pStyle w:val="BodyText"/>
        <w:spacing w:before="158" w:line="259" w:lineRule="auto"/>
        <w:ind w:left="116" w:right="404"/>
      </w:pPr>
      <w:r>
        <w:t>The scope of this RFP is limited to clinical research and does not include in vitro laboratory-based</w:t>
      </w:r>
      <w:r>
        <w:rPr>
          <w:spacing w:val="1"/>
        </w:rPr>
        <w:t xml:space="preserve"> </w:t>
      </w:r>
      <w:r>
        <w:t>research. Applications for funding will only be considered in which all products/devices are used in</w:t>
      </w:r>
      <w:r>
        <w:rPr>
          <w:spacing w:val="-47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cleared</w:t>
      </w:r>
      <w:r>
        <w:rPr>
          <w:spacing w:val="-4"/>
        </w:rPr>
        <w:t xml:space="preserve"> </w:t>
      </w:r>
      <w:r>
        <w:t>Indications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Use.</w:t>
      </w:r>
    </w:p>
    <w:p w14:paraId="469AF9EF" w14:textId="77777777" w:rsidR="00A308F9" w:rsidRDefault="00A308F9" w:rsidP="00A308F9">
      <w:pPr>
        <w:pStyle w:val="BodyText"/>
      </w:pPr>
    </w:p>
    <w:p w14:paraId="427317CC" w14:textId="77777777" w:rsidR="00A308F9" w:rsidRDefault="00A308F9" w:rsidP="00A308F9">
      <w:pPr>
        <w:pStyle w:val="BodyText"/>
        <w:spacing w:before="10"/>
        <w:rPr>
          <w:sz w:val="27"/>
        </w:rPr>
      </w:pPr>
    </w:p>
    <w:p w14:paraId="5464BC02" w14:textId="77777777" w:rsidR="00A308F9" w:rsidRDefault="00A308F9" w:rsidP="00A308F9">
      <w:pPr>
        <w:pStyle w:val="Heading1"/>
        <w:spacing w:before="1"/>
      </w:pPr>
      <w:r>
        <w:t>Regional</w:t>
      </w:r>
      <w:r>
        <w:rPr>
          <w:spacing w:val="-9"/>
        </w:rPr>
        <w:t xml:space="preserve"> </w:t>
      </w:r>
      <w:r>
        <w:t>considerations</w:t>
      </w:r>
    </w:p>
    <w:p w14:paraId="378D7CD5" w14:textId="30C85AB1" w:rsidR="00A308F9" w:rsidRDefault="00A308F9" w:rsidP="00A308F9">
      <w:pPr>
        <w:pStyle w:val="BodyText"/>
        <w:spacing w:before="182"/>
        <w:ind w:left="116"/>
      </w:pPr>
      <w:r>
        <w:t>*This product is cleared for use in Canada and the USA therefore we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interested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these countries at this time.</w:t>
      </w:r>
    </w:p>
    <w:p w14:paraId="114C172A" w14:textId="77777777" w:rsidR="00DC212D" w:rsidRDefault="00DC212D" w:rsidP="00A308F9">
      <w:pPr>
        <w:pStyle w:val="BodyText"/>
        <w:spacing w:before="182"/>
        <w:ind w:left="116"/>
      </w:pPr>
    </w:p>
    <w:p w14:paraId="49FAC4A1" w14:textId="77777777" w:rsidR="00A308F9" w:rsidRDefault="00A308F9" w:rsidP="00A308F9">
      <w:pPr>
        <w:pStyle w:val="Heading1"/>
        <w:spacing w:before="163" w:line="267" w:lineRule="exact"/>
        <w:ind w:left="155"/>
      </w:pPr>
      <w:r>
        <w:t>Contact</w:t>
      </w:r>
      <w:r>
        <w:rPr>
          <w:spacing w:val="-3"/>
        </w:rPr>
        <w:t xml:space="preserve"> </w:t>
      </w:r>
      <w:r>
        <w:t>information</w:t>
      </w:r>
    </w:p>
    <w:p w14:paraId="696152A0" w14:textId="11D7582E" w:rsidR="008351E6" w:rsidRPr="008351E6" w:rsidRDefault="00A308F9" w:rsidP="008351E6">
      <w:pPr>
        <w:pStyle w:val="BodyText"/>
        <w:spacing w:line="267" w:lineRule="exact"/>
        <w:ind w:left="155"/>
      </w:pPr>
      <w:r>
        <w:t xml:space="preserve">This RFP has been posted on the S+N IIS website:  </w:t>
      </w:r>
      <w:hyperlink r:id="rId4" w:history="1">
        <w:r w:rsidR="008026B8" w:rsidRPr="00BB3F97">
          <w:rPr>
            <w:rStyle w:val="Hyperlink"/>
          </w:rPr>
          <w:t>https://smith-nephew-portal.anaqua.com/Default.aspx</w:t>
        </w:r>
      </w:hyperlink>
    </w:p>
    <w:p w14:paraId="4EFBBFDE" w14:textId="581B568E" w:rsidR="00E84BE4" w:rsidRDefault="00000000" w:rsidP="00A308F9">
      <w:pPr>
        <w:pStyle w:val="BodyText"/>
        <w:spacing w:line="267" w:lineRule="exact"/>
        <w:ind w:left="155"/>
      </w:pPr>
    </w:p>
    <w:sectPr w:rsidR="00E84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F9"/>
    <w:rsid w:val="000F6058"/>
    <w:rsid w:val="00422451"/>
    <w:rsid w:val="004E1914"/>
    <w:rsid w:val="00554A89"/>
    <w:rsid w:val="007A4D53"/>
    <w:rsid w:val="007B6045"/>
    <w:rsid w:val="007C077D"/>
    <w:rsid w:val="008026B8"/>
    <w:rsid w:val="008351E6"/>
    <w:rsid w:val="00886802"/>
    <w:rsid w:val="00991AA7"/>
    <w:rsid w:val="00A308F9"/>
    <w:rsid w:val="00A353E0"/>
    <w:rsid w:val="00A86D7B"/>
    <w:rsid w:val="00D17838"/>
    <w:rsid w:val="00D212A8"/>
    <w:rsid w:val="00DC212D"/>
    <w:rsid w:val="00F12AA3"/>
    <w:rsid w:val="00F539FC"/>
    <w:rsid w:val="00F66542"/>
    <w:rsid w:val="00F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BCF7"/>
  <w15:chartTrackingRefBased/>
  <w15:docId w15:val="{BAA891D6-9E5A-45EF-84EC-FCF30FB4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08F9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8F9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A308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308F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30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6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60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ith-nephew-portal.anaqua.com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Sue</dc:creator>
  <cp:keywords/>
  <dc:description/>
  <cp:lastModifiedBy>Turner, Joseph</cp:lastModifiedBy>
  <cp:revision>7</cp:revision>
  <dcterms:created xsi:type="dcterms:W3CDTF">2023-10-18T08:43:00Z</dcterms:created>
  <dcterms:modified xsi:type="dcterms:W3CDTF">2023-10-18T08:47:00Z</dcterms:modified>
</cp:coreProperties>
</file>